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54" w:rsidRDefault="00F475BA">
      <w:pPr>
        <w:pStyle w:val="20"/>
        <w:framePr w:w="8693" w:h="1647" w:hRule="exact" w:wrap="none" w:vAnchor="page" w:hAnchor="page" w:x="1619" w:y="5122"/>
        <w:shd w:val="clear" w:color="auto" w:fill="auto"/>
        <w:spacing w:after="0"/>
        <w:ind w:left="20"/>
      </w:pPr>
      <w:r>
        <w:t>Планирование и проведение занятий по формированию лексико-грамматических категорий.</w:t>
      </w:r>
    </w:p>
    <w:p w:rsidR="00A00A54" w:rsidRDefault="00F475BA">
      <w:pPr>
        <w:pStyle w:val="30"/>
        <w:framePr w:w="8693" w:h="787" w:hRule="exact" w:wrap="none" w:vAnchor="page" w:hAnchor="page" w:x="1619" w:y="11718"/>
        <w:shd w:val="clear" w:color="auto" w:fill="auto"/>
        <w:spacing w:before="0"/>
        <w:ind w:left="5980" w:right="280"/>
      </w:pPr>
      <w:r>
        <w:t xml:space="preserve">У </w:t>
      </w:r>
      <w:proofErr w:type="spellStart"/>
      <w:r>
        <w:t>читель</w:t>
      </w:r>
      <w:proofErr w:type="spellEnd"/>
      <w:r>
        <w:t xml:space="preserve">-логопед </w:t>
      </w:r>
      <w:proofErr w:type="spellStart"/>
      <w:r>
        <w:t>Обидейко</w:t>
      </w:r>
      <w:proofErr w:type="spellEnd"/>
      <w:r>
        <w:t xml:space="preserve"> Н.Г.</w:t>
      </w:r>
    </w:p>
    <w:p w:rsidR="00A00A54" w:rsidRDefault="00A00A54">
      <w:pPr>
        <w:rPr>
          <w:sz w:val="2"/>
          <w:szCs w:val="2"/>
        </w:rPr>
        <w:sectPr w:rsidR="00A00A5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proofErr w:type="gramStart"/>
      <w:r>
        <w:lastRenderedPageBreak/>
        <w:t>В коррекционной работе по преодолению недоразвития речи в условиях специальной группы для детей с тяжелым нарушением</w:t>
      </w:r>
      <w:proofErr w:type="gramEnd"/>
      <w:r>
        <w:t xml:space="preserve"> </w:t>
      </w:r>
      <w:r>
        <w:t>речи, рассчитанной на два года, основными задачами обучения являются: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both"/>
      </w:pPr>
      <w:r>
        <w:t>формирование правильного произношения;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20"/>
        </w:tabs>
        <w:ind w:left="820" w:right="180"/>
        <w:jc w:val="both"/>
      </w:pPr>
      <w:r>
        <w:t>практическое усвоение лексических и грамматических средств языка;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820" w:right="4600" w:firstLine="0"/>
        <w:jc w:val="both"/>
      </w:pPr>
      <w:r>
        <w:t xml:space="preserve">развитие связной речи; подготовка к обучению грамоте; овладение элементами </w:t>
      </w:r>
      <w:r>
        <w:t>грамоты.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r>
        <w:t xml:space="preserve">В настоящий момент логопеды практически используют два основных подхода к планированию и проведению занятий по формированию лексико-грамматических категорий: лексический и </w:t>
      </w:r>
      <w:proofErr w:type="spellStart"/>
      <w:r>
        <w:t>лексико</w:t>
      </w:r>
      <w:r>
        <w:softHyphen/>
        <w:t>грамматический</w:t>
      </w:r>
      <w:proofErr w:type="spellEnd"/>
      <w:r>
        <w:t>.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r>
        <w:t>Много лет я использовала лексический метод. В основ</w:t>
      </w:r>
      <w:r>
        <w:t>ном работа была по накоплению словаря, на знаниях и сведениях по теме, но не на лексико-грамматических категориях.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r>
        <w:t>При лексико-грамматическом подходе изучаются все базовые параметры грамматики русского языка: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15"/>
        </w:tabs>
        <w:ind w:left="20" w:firstLine="340"/>
        <w:jc w:val="both"/>
      </w:pPr>
      <w:r>
        <w:t>падежные конструкции;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both"/>
      </w:pPr>
      <w:r>
        <w:t>словообразование;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15"/>
        </w:tabs>
        <w:ind w:left="20" w:firstLine="340"/>
        <w:jc w:val="both"/>
      </w:pPr>
      <w:r>
        <w:t>предлож</w:t>
      </w:r>
      <w:r>
        <w:t>ные конструкции;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both"/>
      </w:pPr>
      <w:r>
        <w:t>согласование различных частей речи;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numPr>
          <w:ilvl w:val="0"/>
          <w:numId w:val="1"/>
        </w:numPr>
        <w:shd w:val="clear" w:color="auto" w:fill="auto"/>
        <w:tabs>
          <w:tab w:val="left" w:pos="725"/>
        </w:tabs>
        <w:ind w:left="20" w:firstLine="340"/>
        <w:jc w:val="both"/>
      </w:pPr>
      <w:r>
        <w:t>разные типы предложений и т. д.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r>
        <w:t xml:space="preserve">При планировании занятий я не указываю словарную тему, тем самым не ограничиваю пассивный и активный словари, на базе которых формируются те или иные грамматические </w:t>
      </w:r>
      <w:r>
        <w:t>конструкции. Это позволяет расширить познавательные рамки занятия, а также сосредоточить внимание детей на изучаемой грамматической форме (окончаниях существительных, предлоге, способе словообразовании и т. Д.)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r>
        <w:t>Словарю отводится роль «строительного материа</w:t>
      </w:r>
      <w:r>
        <w:t>ла», «кирпичиков», из которых формируется стойкий динамический стереотип грамматических закономерностей родного языка.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r>
        <w:t>Разумеется, не требуется, чтобы дошкольники знали грамматическую теорию. Нужно, чтобы они практически улавливали некоторые общие закономе</w:t>
      </w:r>
      <w:r>
        <w:t>рности в структуре услышанных фраз, то есть выработать у детей «чувство языка».</w:t>
      </w:r>
    </w:p>
    <w:p w:rsidR="00A00A54" w:rsidRDefault="00F475BA" w:rsidP="00477079">
      <w:pPr>
        <w:pStyle w:val="1"/>
        <w:framePr w:w="9494" w:h="14497" w:hRule="exact" w:wrap="none" w:vAnchor="page" w:hAnchor="page" w:x="1219" w:y="1177"/>
        <w:shd w:val="clear" w:color="auto" w:fill="auto"/>
        <w:ind w:left="20" w:right="180" w:firstLine="340"/>
        <w:jc w:val="both"/>
      </w:pPr>
      <w:proofErr w:type="gramStart"/>
      <w:r>
        <w:t xml:space="preserve">Так, например, на занятии по согласованию числительных один, одна с существительными задействую такие темы, как «игрушки», «фрукты», «овощи», «одежда», «посуда», «дом», «дикие </w:t>
      </w:r>
      <w:r>
        <w:t>животные».</w:t>
      </w:r>
      <w:proofErr w:type="gramEnd"/>
      <w:r>
        <w:t xml:space="preserve"> Для эффективного усвоения учебного материала на занятиях делается произносительный акцент на изучаемой грамматической форме, то есть выделяется голосом предлог, окончание существительных, прилагательных мужского и женского родов и т. п. Обязател</w:t>
      </w:r>
      <w:r>
        <w:t>ьно называются обобщения, производится анализ словосочетаний и</w:t>
      </w:r>
    </w:p>
    <w:p w:rsidR="00A00A54" w:rsidRDefault="00A00A54">
      <w:pPr>
        <w:rPr>
          <w:sz w:val="2"/>
          <w:szCs w:val="2"/>
        </w:rPr>
        <w:sectPr w:rsidR="00A00A5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ind w:left="20" w:right="380" w:firstLine="0"/>
        <w:jc w:val="both"/>
      </w:pPr>
      <w:r>
        <w:lastRenderedPageBreak/>
        <w:t>формируется вывод: «Если в конце слова есть звук</w:t>
      </w:r>
      <w:proofErr w:type="gramStart"/>
      <w:r>
        <w:t xml:space="preserve"> А</w:t>
      </w:r>
      <w:proofErr w:type="gramEnd"/>
      <w:r>
        <w:t>, то про такой предмет мы говорим «одна». И очень важно, что используется при этом значительная лексическая база, а не од</w:t>
      </w:r>
      <w:r>
        <w:t>но-два обобщения.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spacing w:line="346" w:lineRule="exact"/>
        <w:ind w:left="20" w:right="380" w:firstLine="340"/>
        <w:jc w:val="both"/>
      </w:pPr>
      <w:r>
        <w:t>Каждое лексико-грамматическое занятие проводится по следующему плану: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20"/>
        </w:tabs>
        <w:spacing w:line="317" w:lineRule="exact"/>
        <w:ind w:left="20" w:firstLine="340"/>
        <w:jc w:val="both"/>
      </w:pPr>
      <w:r>
        <w:t>организационный момент;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20"/>
        </w:tabs>
        <w:spacing w:line="317" w:lineRule="exact"/>
        <w:ind w:left="20" w:firstLine="340"/>
        <w:jc w:val="both"/>
      </w:pPr>
      <w:r>
        <w:t>объяснение нового материала;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695"/>
        </w:tabs>
        <w:spacing w:line="317" w:lineRule="exact"/>
        <w:ind w:left="740" w:right="380" w:hanging="400"/>
        <w:jc w:val="both"/>
      </w:pPr>
      <w:r>
        <w:t>закрепление полученных знаний на фронтальном наглядном материале;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10"/>
        </w:tabs>
        <w:spacing w:line="317" w:lineRule="exact"/>
        <w:ind w:left="20" w:firstLine="340"/>
        <w:jc w:val="both"/>
      </w:pPr>
      <w:r>
        <w:t>динамическая пауза, связанная с темой занятия;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690"/>
        </w:tabs>
        <w:spacing w:line="317" w:lineRule="exact"/>
        <w:ind w:left="740" w:right="380" w:hanging="400"/>
        <w:jc w:val="both"/>
      </w:pPr>
      <w:r>
        <w:t>закрепление полученных знаний на индивидуальном наглядном материале;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15"/>
        </w:tabs>
        <w:spacing w:line="317" w:lineRule="exact"/>
        <w:ind w:left="20" w:firstLine="340"/>
        <w:jc w:val="both"/>
      </w:pPr>
      <w:r>
        <w:t>итог занятия.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spacing w:line="317" w:lineRule="exact"/>
        <w:ind w:left="20" w:right="380" w:firstLine="340"/>
        <w:jc w:val="both"/>
      </w:pPr>
      <w:r>
        <w:t>Подбор лексического материала для занятий должен быть свободным в фонетическом плане, то есть он может содержать звуки, еще не скорректированные в произношении детей.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spacing w:line="317" w:lineRule="exact"/>
        <w:ind w:left="20" w:right="380" w:firstLine="340"/>
        <w:jc w:val="both"/>
      </w:pPr>
      <w:r>
        <w:t>Наличие для каждого этапа занятий индивидуального наглядного материала (картинок, фишек, схем, условных обозначений и пр.) позволяет обеспечить: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15"/>
        </w:tabs>
        <w:spacing w:line="317" w:lineRule="exact"/>
        <w:ind w:left="20" w:firstLine="340"/>
        <w:jc w:val="both"/>
      </w:pPr>
      <w:r>
        <w:t>высокую активность детей;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20"/>
        </w:tabs>
        <w:spacing w:line="317" w:lineRule="exact"/>
        <w:ind w:left="20" w:firstLine="340"/>
        <w:jc w:val="both"/>
      </w:pPr>
      <w:r>
        <w:t xml:space="preserve">полный </w:t>
      </w:r>
      <w:proofErr w:type="gramStart"/>
      <w:r>
        <w:t>контроль за</w:t>
      </w:r>
      <w:proofErr w:type="gramEnd"/>
      <w:r>
        <w:t xml:space="preserve"> усвоением знаний и умений;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numPr>
          <w:ilvl w:val="0"/>
          <w:numId w:val="1"/>
        </w:numPr>
        <w:shd w:val="clear" w:color="auto" w:fill="auto"/>
        <w:tabs>
          <w:tab w:val="left" w:pos="720"/>
        </w:tabs>
        <w:spacing w:line="317" w:lineRule="exact"/>
        <w:ind w:left="20" w:firstLine="340"/>
        <w:jc w:val="both"/>
      </w:pPr>
      <w:r>
        <w:t>более экономичное использование учебног</w:t>
      </w:r>
      <w:r>
        <w:t>о времени.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spacing w:line="317" w:lineRule="exact"/>
        <w:ind w:left="20" w:right="380" w:firstLine="340"/>
        <w:jc w:val="both"/>
      </w:pPr>
      <w:r>
        <w:t xml:space="preserve">Кроме того, правильный подбор наглядного материала (количество, </w:t>
      </w:r>
      <w:proofErr w:type="gramStart"/>
      <w:r>
        <w:t>эстетический вид</w:t>
      </w:r>
      <w:proofErr w:type="gramEnd"/>
      <w:r>
        <w:t>, формат и т. п.) способствует повышению эмоционального тонуса детей, познавательного порога, а значит и росту эффективности обучения.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spacing w:line="317" w:lineRule="exact"/>
        <w:ind w:left="20" w:right="380" w:firstLine="340"/>
        <w:jc w:val="both"/>
      </w:pPr>
      <w:r>
        <w:t>В своей практике я использую д</w:t>
      </w:r>
      <w:r>
        <w:t xml:space="preserve">идактический материал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А.В.Соболевой</w:t>
      </w:r>
      <w:proofErr w:type="spellEnd"/>
      <w:r>
        <w:t xml:space="preserve"> «Развитие речи дошкольников», </w:t>
      </w:r>
      <w:proofErr w:type="spellStart"/>
      <w:r>
        <w:t>С.А.Васильевой</w:t>
      </w:r>
      <w:proofErr w:type="spellEnd"/>
      <w:r>
        <w:t xml:space="preserve">, </w:t>
      </w:r>
      <w:proofErr w:type="spellStart"/>
      <w:r>
        <w:t>В.И.Мирясовой</w:t>
      </w:r>
      <w:proofErr w:type="spellEnd"/>
      <w:r>
        <w:t xml:space="preserve"> «Тематический словарь в картинках», </w:t>
      </w:r>
      <w:proofErr w:type="spellStart"/>
      <w:r>
        <w:t>Г.А.Каше</w:t>
      </w:r>
      <w:proofErr w:type="spellEnd"/>
      <w:r>
        <w:t xml:space="preserve">, </w:t>
      </w:r>
      <w:proofErr w:type="spellStart"/>
      <w:r>
        <w:t>Т.Б.Филичевой</w:t>
      </w:r>
      <w:proofErr w:type="spellEnd"/>
      <w:r>
        <w:t xml:space="preserve"> «Дидактический материал по исправлению недостатков произношения у детей дошкольного в</w:t>
      </w:r>
      <w:r>
        <w:t xml:space="preserve">озраста», </w:t>
      </w:r>
      <w:proofErr w:type="spellStart"/>
      <w:r>
        <w:t>Т.С.Третьяковой</w:t>
      </w:r>
      <w:proofErr w:type="spellEnd"/>
      <w:r>
        <w:t xml:space="preserve"> «Играем и учимся», </w:t>
      </w:r>
      <w:proofErr w:type="spellStart"/>
      <w:r>
        <w:t>Т.А</w:t>
      </w:r>
      <w:proofErr w:type="gramStart"/>
      <w:r>
        <w:t>,Т</w:t>
      </w:r>
      <w:proofErr w:type="gramEnd"/>
      <w:r>
        <w:t>каченко</w:t>
      </w:r>
      <w:proofErr w:type="spellEnd"/>
      <w:r>
        <w:t xml:space="preserve"> «Учим говорить правильно».</w:t>
      </w:r>
    </w:p>
    <w:p w:rsidR="00A00A54" w:rsidRDefault="00F475BA" w:rsidP="00477079">
      <w:pPr>
        <w:pStyle w:val="1"/>
        <w:framePr w:w="9446" w:h="11952" w:hRule="exact" w:wrap="none" w:vAnchor="page" w:hAnchor="page" w:x="1243" w:y="1177"/>
        <w:shd w:val="clear" w:color="auto" w:fill="auto"/>
        <w:spacing w:line="317" w:lineRule="exact"/>
        <w:ind w:left="20" w:right="380" w:firstLine="340"/>
        <w:jc w:val="both"/>
      </w:pPr>
      <w:r>
        <w:t>Все занятия проводятся в форме дидактических игр, игровых упражнений, занимательных заданий. Использование элементов соревнования, двигательной активности, драматизации де</w:t>
      </w:r>
      <w:r>
        <w:t>лают занятия более живыми, интересными, результативными.</w:t>
      </w:r>
    </w:p>
    <w:p w:rsidR="00A00A54" w:rsidRDefault="00A00A54">
      <w:pPr>
        <w:rPr>
          <w:sz w:val="2"/>
          <w:szCs w:val="2"/>
        </w:rPr>
      </w:pPr>
      <w:bookmarkStart w:id="0" w:name="_GoBack"/>
      <w:bookmarkEnd w:id="0"/>
    </w:p>
    <w:sectPr w:rsidR="00A00A5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BA" w:rsidRDefault="00F475BA">
      <w:r>
        <w:separator/>
      </w:r>
    </w:p>
  </w:endnote>
  <w:endnote w:type="continuationSeparator" w:id="0">
    <w:p w:rsidR="00F475BA" w:rsidRDefault="00F4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BA" w:rsidRDefault="00F475BA"/>
  </w:footnote>
  <w:footnote w:type="continuationSeparator" w:id="0">
    <w:p w:rsidR="00F475BA" w:rsidRDefault="00F475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0C35"/>
    <w:multiLevelType w:val="multilevel"/>
    <w:tmpl w:val="E57ED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4"/>
    <w:rsid w:val="00477079"/>
    <w:rsid w:val="00A00A54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1"/>
      <w:szCs w:val="4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20" w:line="499" w:lineRule="exact"/>
      <w:jc w:val="center"/>
    </w:pPr>
    <w:rPr>
      <w:rFonts w:ascii="Times New Roman" w:eastAsia="Times New Roman" w:hAnsi="Times New Roman" w:cs="Times New Roman"/>
      <w:b/>
      <w:bCs/>
      <w:spacing w:val="-1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line="365" w:lineRule="exact"/>
    </w:pPr>
    <w:rPr>
      <w:rFonts w:ascii="Times New Roman" w:eastAsia="Times New Roman" w:hAnsi="Times New Roman" w:cs="Times New Roman"/>
      <w:b/>
      <w:bCs/>
      <w:spacing w:val="-4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6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1"/>
      <w:szCs w:val="4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920" w:line="499" w:lineRule="exact"/>
      <w:jc w:val="center"/>
    </w:pPr>
    <w:rPr>
      <w:rFonts w:ascii="Times New Roman" w:eastAsia="Times New Roman" w:hAnsi="Times New Roman" w:cs="Times New Roman"/>
      <w:b/>
      <w:bCs/>
      <w:spacing w:val="-1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920" w:line="365" w:lineRule="exact"/>
    </w:pPr>
    <w:rPr>
      <w:rFonts w:ascii="Times New Roman" w:eastAsia="Times New Roman" w:hAnsi="Times New Roman" w:cs="Times New Roman"/>
      <w:b/>
      <w:bCs/>
      <w:spacing w:val="-4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60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Company>ДС №67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2013-05-15T08:54:00Z</dcterms:created>
  <dcterms:modified xsi:type="dcterms:W3CDTF">2013-05-15T08:55:00Z</dcterms:modified>
</cp:coreProperties>
</file>